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2018</w:t>
      </w:r>
      <w:r>
        <w:rPr>
          <w:rFonts w:hint="eastAsia" w:ascii="方正小标宋简体" w:eastAsia="方正小标宋简体"/>
          <w:sz w:val="32"/>
          <w:szCs w:val="32"/>
        </w:rPr>
        <w:t>年度非学历教育目标任务表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     目标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基础目标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计划目标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继续教育学院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机械工程学院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信息科学与    工程学院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245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600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药学与生物    工程学院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建筑与土木    工程学院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旅游与经济    管理学院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文学与新闻    传播学院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外国语学院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东盟艺术学院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150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300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美术与设计学院、音乐与舞蹈学院、影视与动画学院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医学院        （护理学院）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师范学院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245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600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海外教育学院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150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四川抗菌素    研究所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附属医院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650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4000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仿宋" w:eastAsia="仿宋" w:cs="Times New Roman"/>
          <w:sz w:val="24"/>
          <w:szCs w:val="24"/>
        </w:rPr>
        <w:t>注：</w:t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sz w:val="24"/>
          <w:szCs w:val="24"/>
        </w:rPr>
        <w:t>、</w:t>
      </w:r>
      <w:r>
        <w:rPr>
          <w:rFonts w:ascii="Times New Roman" w:hAnsi="仿宋" w:eastAsia="仿宋" w:cs="Times New Roman"/>
          <w:sz w:val="24"/>
          <w:szCs w:val="24"/>
        </w:rPr>
        <w:t>各单位实际完成数未达基础目标不享受学校管理费减免政策，实际完成数超基础目标部分享受</w:t>
      </w:r>
      <w:r>
        <w:rPr>
          <w:rFonts w:ascii="Times New Roman" w:hAnsi="Times New Roman" w:eastAsia="仿宋" w:cs="Times New Roman"/>
          <w:sz w:val="24"/>
          <w:szCs w:val="24"/>
        </w:rPr>
        <w:t>15%</w:t>
      </w:r>
      <w:r>
        <w:rPr>
          <w:rFonts w:ascii="Times New Roman" w:hAnsi="仿宋" w:eastAsia="仿宋" w:cs="Times New Roman"/>
          <w:sz w:val="24"/>
          <w:szCs w:val="24"/>
        </w:rPr>
        <w:t>上交学校管理费返回政策。</w:t>
      </w: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ascii="Times New Roman" w:hAnsi="仿宋" w:eastAsia="仿宋" w:cs="Times New Roman"/>
          <w:sz w:val="24"/>
          <w:szCs w:val="24"/>
        </w:rPr>
        <w:t>、四川抗菌素研究所和附属医院可参照学校政策执行。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2018年度非学历教育目标任务意见征询表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学院（部门）公章：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部门负责人签章：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A1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2018-04-13T06:43:57Z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